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4F0" w:rsidRPr="009934F0" w:rsidRDefault="009934F0" w:rsidP="009934F0">
      <w:pPr>
        <w:shd w:val="clear" w:color="auto" w:fill="FFFFFF"/>
        <w:spacing w:after="0" w:line="240" w:lineRule="auto"/>
        <w:jc w:val="center"/>
        <w:rPr>
          <w:rFonts w:ascii="Times New Roman" w:eastAsia="Times New Roman" w:hAnsi="Times New Roman" w:cs="Times New Roman"/>
          <w:color w:val="444444"/>
          <w:spacing w:val="7"/>
          <w:sz w:val="24"/>
          <w:szCs w:val="24"/>
        </w:rPr>
      </w:pPr>
      <w:bookmarkStart w:id="0" w:name="_GoBack"/>
      <w:bookmarkEnd w:id="0"/>
      <w:r w:rsidRPr="009934F0">
        <w:rPr>
          <w:rFonts w:ascii="Times New Roman" w:eastAsia="Times New Roman" w:hAnsi="Times New Roman" w:cs="Times New Roman"/>
          <w:noProof/>
          <w:color w:val="444444"/>
          <w:spacing w:val="7"/>
          <w:sz w:val="24"/>
          <w:szCs w:val="24"/>
        </w:rPr>
        <w:drawing>
          <wp:inline distT="0" distB="0" distL="0" distR="0" wp14:anchorId="1025DCFB" wp14:editId="41E9FBFD">
            <wp:extent cx="2423160" cy="2423160"/>
            <wp:effectExtent l="0" t="0" r="0" b="0"/>
            <wp:docPr id="1" name="Picture 1"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3160" cy="2423160"/>
                    </a:xfrm>
                    <a:prstGeom prst="rect">
                      <a:avLst/>
                    </a:prstGeom>
                    <a:noFill/>
                    <a:ln>
                      <a:noFill/>
                    </a:ln>
                  </pic:spPr>
                </pic:pic>
              </a:graphicData>
            </a:graphic>
          </wp:inline>
        </w:drawing>
      </w:r>
    </w:p>
    <w:p w:rsidR="009934F0" w:rsidRPr="009934F0" w:rsidRDefault="009934F0" w:rsidP="009934F0">
      <w:pPr>
        <w:shd w:val="clear" w:color="auto" w:fill="FFFFFF"/>
        <w:spacing w:after="0" w:line="450" w:lineRule="atLeast"/>
        <w:jc w:val="both"/>
        <w:rPr>
          <w:rFonts w:ascii="Bookman Old Style" w:eastAsia="Times New Roman" w:hAnsi="Bookman Old Style" w:cs="Times New Roman"/>
          <w:color w:val="444444"/>
        </w:rPr>
      </w:pPr>
      <w:r w:rsidRPr="009934F0">
        <w:rPr>
          <w:rFonts w:ascii="Times New Roman" w:eastAsia="Times New Roman" w:hAnsi="Times New Roman" w:cs="Times New Roman"/>
          <w:color w:val="444444"/>
          <w:sz w:val="24"/>
          <w:szCs w:val="24"/>
        </w:rPr>
        <w:br/>
      </w:r>
      <w:r w:rsidRPr="009934F0">
        <w:rPr>
          <w:rFonts w:ascii="Times New Roman" w:eastAsia="Times New Roman" w:hAnsi="Times New Roman" w:cs="Times New Roman"/>
          <w:color w:val="444444"/>
          <w:sz w:val="24"/>
          <w:szCs w:val="24"/>
        </w:rPr>
        <w:br/>
      </w:r>
      <w:r w:rsidRPr="009934F0">
        <w:rPr>
          <w:rFonts w:ascii="Bookman Old Style" w:eastAsia="Times New Roman" w:hAnsi="Bookman Old Style" w:cs="Times New Roman"/>
          <w:i/>
          <w:iCs/>
          <w:color w:val="444444"/>
        </w:rPr>
        <w:t>La lectio divina</w:t>
      </w:r>
      <w:r w:rsidRPr="009934F0">
        <w:rPr>
          <w:rFonts w:ascii="Bookman Old Style" w:eastAsia="Times New Roman" w:hAnsi="Bookman Old Style" w:cs="Times New Roman"/>
          <w:color w:val="444444"/>
        </w:rPr>
        <w:t xml:space="preserve"> (en latín, "lectura divina") no era algo nuevo para los cristianos, sino que brotaba del método hebreo de estudio de las </w:t>
      </w:r>
      <w:proofErr w:type="spellStart"/>
      <w:r w:rsidRPr="009934F0">
        <w:rPr>
          <w:rFonts w:ascii="Bookman Old Style" w:eastAsia="Times New Roman" w:hAnsi="Bookman Old Style" w:cs="Times New Roman"/>
          <w:color w:val="444444"/>
        </w:rPr>
        <w:t>Escrituras</w:t>
      </w:r>
      <w:proofErr w:type="spellEnd"/>
      <w:r w:rsidRPr="009934F0">
        <w:rPr>
          <w:rFonts w:ascii="Bookman Old Style" w:eastAsia="Times New Roman" w:hAnsi="Bookman Old Style" w:cs="Times New Roman"/>
          <w:color w:val="444444"/>
        </w:rPr>
        <w:t xml:space="preserve">, </w:t>
      </w:r>
      <w:r w:rsidRPr="009934F0">
        <w:rPr>
          <w:rFonts w:ascii="Bookman Old Style" w:eastAsia="Times New Roman" w:hAnsi="Bookman Old Style" w:cs="Times New Roman"/>
          <w:i/>
          <w:iCs/>
          <w:color w:val="444444"/>
        </w:rPr>
        <w:t xml:space="preserve">la </w:t>
      </w:r>
      <w:proofErr w:type="spellStart"/>
      <w:r w:rsidRPr="009934F0">
        <w:rPr>
          <w:rFonts w:ascii="Bookman Old Style" w:eastAsia="Times New Roman" w:hAnsi="Bookman Old Style" w:cs="Times New Roman"/>
          <w:i/>
          <w:iCs/>
          <w:color w:val="444444"/>
        </w:rPr>
        <w:t>hagadá</w:t>
      </w:r>
      <w:proofErr w:type="spellEnd"/>
      <w:r w:rsidRPr="009934F0">
        <w:rPr>
          <w:rFonts w:ascii="Bookman Old Style" w:eastAsia="Times New Roman" w:hAnsi="Bookman Old Style" w:cs="Times New Roman"/>
          <w:i/>
          <w:iCs/>
          <w:color w:val="444444"/>
        </w:rPr>
        <w:t>,</w:t>
      </w:r>
      <w:r w:rsidRPr="009934F0">
        <w:rPr>
          <w:rFonts w:ascii="Bookman Old Style" w:eastAsia="Times New Roman" w:hAnsi="Bookman Old Style" w:cs="Times New Roman"/>
          <w:color w:val="444444"/>
        </w:rPr>
        <w:t xml:space="preserve"> </w:t>
      </w:r>
      <w:proofErr w:type="spellStart"/>
      <w:r w:rsidRPr="009934F0">
        <w:rPr>
          <w:rFonts w:ascii="Bookman Old Style" w:eastAsia="Times New Roman" w:hAnsi="Bookman Old Style" w:cs="Times New Roman"/>
          <w:color w:val="444444"/>
        </w:rPr>
        <w:t>o</w:t>
      </w:r>
      <w:proofErr w:type="spellEnd"/>
      <w:r w:rsidRPr="009934F0">
        <w:rPr>
          <w:rFonts w:ascii="Bookman Old Style" w:eastAsia="Times New Roman" w:hAnsi="Bookman Old Style" w:cs="Times New Roman"/>
          <w:color w:val="444444"/>
        </w:rPr>
        <w:t xml:space="preserve"> el </w:t>
      </w:r>
      <w:proofErr w:type="spellStart"/>
      <w:r w:rsidRPr="009934F0">
        <w:rPr>
          <w:rFonts w:ascii="Bookman Old Style" w:eastAsia="Times New Roman" w:hAnsi="Bookman Old Style" w:cs="Times New Roman"/>
          <w:color w:val="444444"/>
        </w:rPr>
        <w:t>aprendizaje</w:t>
      </w:r>
      <w:proofErr w:type="spellEnd"/>
      <w:r w:rsidRPr="009934F0">
        <w:rPr>
          <w:rFonts w:ascii="Bookman Old Style" w:eastAsia="Times New Roman" w:hAnsi="Bookman Old Style" w:cs="Times New Roman"/>
          <w:color w:val="444444"/>
        </w:rPr>
        <w:t xml:space="preserve"> de memoria: "La palabra está muy cerca de ti; está en tu boca y en tu corazón para que lo guardes" (Dt 30,14). Mientras que muchos Padres de la Iglesia enfatizaron la lectura orante de las Escrituras, a Orígenes se le atribuye el primer uso del término "</w:t>
      </w:r>
      <w:r w:rsidRPr="009934F0">
        <w:rPr>
          <w:rFonts w:ascii="Bookman Old Style" w:eastAsia="Times New Roman" w:hAnsi="Bookman Old Style" w:cs="Times New Roman"/>
          <w:i/>
          <w:iCs/>
          <w:color w:val="444444"/>
        </w:rPr>
        <w:t>lectio divina"</w:t>
      </w:r>
      <w:r w:rsidRPr="009934F0">
        <w:rPr>
          <w:rFonts w:ascii="Bookman Old Style" w:eastAsia="Times New Roman" w:hAnsi="Bookman Old Style" w:cs="Times New Roman"/>
          <w:color w:val="444444"/>
        </w:rPr>
        <w:t xml:space="preserve"> en el siglo III: </w:t>
      </w:r>
      <w:r w:rsidRPr="009934F0">
        <w:rPr>
          <w:rFonts w:ascii="Bookman Old Style" w:eastAsia="Times New Roman" w:hAnsi="Bookman Old Style" w:cs="Times New Roman"/>
          <w:i/>
          <w:iCs/>
          <w:color w:val="444444"/>
        </w:rPr>
        <w:t xml:space="preserve">"Mientras atendéis a esta lectio divina, buscad rectamente y con fe inquebrantable en Dios el sentido oculto que está presente en la mayoría de los pasajes de las divinas Escrituras" </w:t>
      </w:r>
      <w:r w:rsidRPr="009934F0">
        <w:rPr>
          <w:rFonts w:ascii="Bookman Old Style" w:eastAsia="Times New Roman" w:hAnsi="Bookman Old Style" w:cs="Times New Roman"/>
          <w:color w:val="444444"/>
        </w:rPr>
        <w:t>(</w:t>
      </w:r>
      <w:r w:rsidRPr="009934F0">
        <w:rPr>
          <w:rFonts w:ascii="Bookman Old Style" w:eastAsia="Times New Roman" w:hAnsi="Bookman Old Style" w:cs="Times New Roman"/>
          <w:i/>
          <w:iCs/>
          <w:color w:val="444444"/>
        </w:rPr>
        <w:t xml:space="preserve">Epístola a Gregorio </w:t>
      </w:r>
      <w:r w:rsidRPr="009934F0">
        <w:rPr>
          <w:rFonts w:ascii="Bookman Old Style" w:eastAsia="Times New Roman" w:hAnsi="Bookman Old Style" w:cs="Times New Roman"/>
          <w:color w:val="444444"/>
        </w:rPr>
        <w:t xml:space="preserve">4). Tradicionalmente, </w:t>
      </w:r>
      <w:r w:rsidRPr="009934F0">
        <w:rPr>
          <w:rFonts w:ascii="Bookman Old Style" w:eastAsia="Times New Roman" w:hAnsi="Bookman Old Style" w:cs="Times New Roman"/>
          <w:i/>
          <w:iCs/>
          <w:color w:val="444444"/>
        </w:rPr>
        <w:t>la lectio divina</w:t>
      </w:r>
      <w:r w:rsidRPr="009934F0">
        <w:rPr>
          <w:rFonts w:ascii="Bookman Old Style" w:eastAsia="Times New Roman" w:hAnsi="Bookman Old Style" w:cs="Times New Roman"/>
          <w:color w:val="444444"/>
        </w:rPr>
        <w:t xml:space="preserve"> es una práctica benedictina de rezar las Escrituras que consiste en leer, meditar, orar y contemplar la Palabra de Dios para crecer en nuestra relación con Dios. San Benito lo estableció por primera vez como una práctica monástica en el siglo VI, en el que las cuatro partes no eran tanto pasos, sino más bien momentos impulsados por el Espíritu Santo. Durante el siglo XII, los cartujos formalizaron un enfoque escolástico ("la escalera del monje") de </w:t>
      </w:r>
      <w:r w:rsidRPr="009934F0">
        <w:rPr>
          <w:rFonts w:ascii="Bookman Old Style" w:eastAsia="Times New Roman" w:hAnsi="Bookman Old Style" w:cs="Times New Roman"/>
          <w:i/>
          <w:iCs/>
          <w:color w:val="444444"/>
        </w:rPr>
        <w:t>lectio</w:t>
      </w:r>
      <w:r w:rsidRPr="009934F0">
        <w:rPr>
          <w:rFonts w:ascii="Bookman Old Style" w:eastAsia="Times New Roman" w:hAnsi="Bookman Old Style" w:cs="Times New Roman"/>
          <w:color w:val="444444"/>
        </w:rPr>
        <w:t xml:space="preserve"> (</w:t>
      </w:r>
      <w:proofErr w:type="spellStart"/>
      <w:r w:rsidRPr="009934F0">
        <w:rPr>
          <w:rFonts w:ascii="Bookman Old Style" w:eastAsia="Times New Roman" w:hAnsi="Bookman Old Style" w:cs="Times New Roman"/>
          <w:color w:val="444444"/>
        </w:rPr>
        <w:t>lectura</w:t>
      </w:r>
      <w:proofErr w:type="spellEnd"/>
      <w:r w:rsidRPr="009934F0">
        <w:rPr>
          <w:rFonts w:ascii="Bookman Old Style" w:eastAsia="Times New Roman" w:hAnsi="Bookman Old Style" w:cs="Times New Roman"/>
          <w:color w:val="444444"/>
        </w:rPr>
        <w:t xml:space="preserve">), </w:t>
      </w:r>
      <w:proofErr w:type="spellStart"/>
      <w:r w:rsidRPr="009934F0">
        <w:rPr>
          <w:rFonts w:ascii="Bookman Old Style" w:eastAsia="Times New Roman" w:hAnsi="Bookman Old Style" w:cs="Times New Roman"/>
          <w:i/>
          <w:iCs/>
          <w:color w:val="444444"/>
        </w:rPr>
        <w:t>meditatio</w:t>
      </w:r>
      <w:proofErr w:type="spellEnd"/>
      <w:r w:rsidRPr="009934F0">
        <w:rPr>
          <w:rFonts w:ascii="Bookman Old Style" w:eastAsia="Times New Roman" w:hAnsi="Bookman Old Style" w:cs="Times New Roman"/>
          <w:i/>
          <w:iCs/>
          <w:color w:val="444444"/>
        </w:rPr>
        <w:t xml:space="preserve"> </w:t>
      </w:r>
      <w:r w:rsidRPr="009934F0">
        <w:rPr>
          <w:rFonts w:ascii="Bookman Old Style" w:eastAsia="Times New Roman" w:hAnsi="Bookman Old Style" w:cs="Times New Roman"/>
          <w:color w:val="444444"/>
        </w:rPr>
        <w:t>(</w:t>
      </w:r>
      <w:proofErr w:type="spellStart"/>
      <w:r w:rsidRPr="009934F0">
        <w:rPr>
          <w:rFonts w:ascii="Bookman Old Style" w:eastAsia="Times New Roman" w:hAnsi="Bookman Old Style" w:cs="Times New Roman"/>
          <w:color w:val="444444"/>
        </w:rPr>
        <w:t>meditación</w:t>
      </w:r>
      <w:proofErr w:type="spellEnd"/>
      <w:r w:rsidRPr="009934F0">
        <w:rPr>
          <w:rFonts w:ascii="Bookman Old Style" w:eastAsia="Times New Roman" w:hAnsi="Bookman Old Style" w:cs="Times New Roman"/>
          <w:color w:val="444444"/>
        </w:rPr>
        <w:t>/</w:t>
      </w:r>
      <w:proofErr w:type="spellStart"/>
      <w:r w:rsidRPr="009934F0">
        <w:rPr>
          <w:rFonts w:ascii="Bookman Old Style" w:eastAsia="Times New Roman" w:hAnsi="Bookman Old Style" w:cs="Times New Roman"/>
          <w:color w:val="444444"/>
        </w:rPr>
        <w:t>reflexión</w:t>
      </w:r>
      <w:proofErr w:type="spellEnd"/>
      <w:r w:rsidRPr="009934F0">
        <w:rPr>
          <w:rFonts w:ascii="Bookman Old Style" w:eastAsia="Times New Roman" w:hAnsi="Bookman Old Style" w:cs="Times New Roman"/>
          <w:color w:val="444444"/>
        </w:rPr>
        <w:t xml:space="preserve">), </w:t>
      </w:r>
      <w:proofErr w:type="spellStart"/>
      <w:r w:rsidRPr="009934F0">
        <w:rPr>
          <w:rFonts w:ascii="Bookman Old Style" w:eastAsia="Times New Roman" w:hAnsi="Bookman Old Style" w:cs="Times New Roman"/>
          <w:i/>
          <w:iCs/>
          <w:color w:val="444444"/>
        </w:rPr>
        <w:t>oratio</w:t>
      </w:r>
      <w:proofErr w:type="spellEnd"/>
      <w:r w:rsidRPr="009934F0">
        <w:rPr>
          <w:rFonts w:ascii="Bookman Old Style" w:eastAsia="Times New Roman" w:hAnsi="Bookman Old Style" w:cs="Times New Roman"/>
          <w:color w:val="444444"/>
        </w:rPr>
        <w:t xml:space="preserve"> (</w:t>
      </w:r>
      <w:proofErr w:type="spellStart"/>
      <w:r w:rsidRPr="009934F0">
        <w:rPr>
          <w:rFonts w:ascii="Bookman Old Style" w:eastAsia="Times New Roman" w:hAnsi="Bookman Old Style" w:cs="Times New Roman"/>
          <w:color w:val="444444"/>
        </w:rPr>
        <w:t>oración</w:t>
      </w:r>
      <w:proofErr w:type="spellEnd"/>
      <w:r w:rsidRPr="009934F0">
        <w:rPr>
          <w:rFonts w:ascii="Bookman Old Style" w:eastAsia="Times New Roman" w:hAnsi="Bookman Old Style" w:cs="Times New Roman"/>
          <w:color w:val="444444"/>
        </w:rPr>
        <w:t>/</w:t>
      </w:r>
      <w:proofErr w:type="spellStart"/>
      <w:r w:rsidRPr="009934F0">
        <w:rPr>
          <w:rFonts w:ascii="Bookman Old Style" w:eastAsia="Times New Roman" w:hAnsi="Bookman Old Style" w:cs="Times New Roman"/>
          <w:color w:val="444444"/>
        </w:rPr>
        <w:t>respuesta</w:t>
      </w:r>
      <w:proofErr w:type="spellEnd"/>
      <w:r w:rsidRPr="009934F0">
        <w:rPr>
          <w:rFonts w:ascii="Bookman Old Style" w:eastAsia="Times New Roman" w:hAnsi="Bookman Old Style" w:cs="Times New Roman"/>
          <w:color w:val="444444"/>
        </w:rPr>
        <w:t xml:space="preserve">) y </w:t>
      </w:r>
      <w:proofErr w:type="spellStart"/>
      <w:r w:rsidRPr="009934F0">
        <w:rPr>
          <w:rFonts w:ascii="Bookman Old Style" w:eastAsia="Times New Roman" w:hAnsi="Bookman Old Style" w:cs="Times New Roman"/>
          <w:i/>
          <w:iCs/>
          <w:color w:val="444444"/>
        </w:rPr>
        <w:t>contemplatio</w:t>
      </w:r>
      <w:proofErr w:type="spellEnd"/>
      <w:r w:rsidRPr="009934F0">
        <w:rPr>
          <w:rFonts w:ascii="Bookman Old Style" w:eastAsia="Times New Roman" w:hAnsi="Bookman Old Style" w:cs="Times New Roman"/>
          <w:color w:val="444444"/>
        </w:rPr>
        <w:t xml:space="preserve"> (contemplación/descanso).</w:t>
      </w:r>
      <w:r w:rsidRPr="009934F0">
        <w:rPr>
          <w:rFonts w:ascii="Bookman Old Style" w:eastAsia="Times New Roman" w:hAnsi="Bookman Old Style" w:cs="Times New Roman"/>
          <w:color w:val="444444"/>
        </w:rPr>
        <w:br/>
      </w:r>
      <w:r w:rsidRPr="009934F0">
        <w:rPr>
          <w:rFonts w:ascii="Bookman Old Style" w:eastAsia="Times New Roman" w:hAnsi="Bookman Old Style" w:cs="Times New Roman"/>
          <w:color w:val="444444"/>
        </w:rPr>
        <w:br/>
        <w:t xml:space="preserve">Distinguimos  la </w:t>
      </w:r>
      <w:r w:rsidRPr="009934F0">
        <w:rPr>
          <w:rFonts w:ascii="Bookman Old Style" w:eastAsia="Times New Roman" w:hAnsi="Bookman Old Style" w:cs="Times New Roman"/>
          <w:i/>
          <w:iCs/>
          <w:color w:val="444444"/>
        </w:rPr>
        <w:t>lectio divina</w:t>
      </w:r>
      <w:r w:rsidRPr="009934F0">
        <w:rPr>
          <w:rFonts w:ascii="Bookman Old Style" w:eastAsia="Times New Roman" w:hAnsi="Bookman Old Style" w:cs="Times New Roman"/>
          <w:color w:val="444444"/>
        </w:rPr>
        <w:t xml:space="preserve"> de la lectura de la Biblia para iluminarnos o animarnos, lo cual podemos hacer individualmente o juntos como en un grupo de estudio bíblico, y de orar las Escrituras en común. </w:t>
      </w:r>
      <w:r w:rsidRPr="009934F0">
        <w:rPr>
          <w:rFonts w:ascii="Bookman Old Style" w:eastAsia="Times New Roman" w:hAnsi="Bookman Old Style" w:cs="Times New Roman"/>
          <w:i/>
          <w:iCs/>
          <w:color w:val="444444"/>
        </w:rPr>
        <w:t>La lectio divina</w:t>
      </w:r>
      <w:r w:rsidRPr="009934F0">
        <w:rPr>
          <w:rFonts w:ascii="Bookman Old Style" w:eastAsia="Times New Roman" w:hAnsi="Bookman Old Style" w:cs="Times New Roman"/>
          <w:color w:val="444444"/>
        </w:rPr>
        <w:t xml:space="preserve"> es una práctica que utiliza pensamientos, imágenes, </w:t>
      </w:r>
      <w:r w:rsidRPr="009934F0">
        <w:rPr>
          <w:rFonts w:ascii="Bookman Old Style" w:eastAsia="Times New Roman" w:hAnsi="Bookman Old Style" w:cs="Times New Roman"/>
          <w:color w:val="444444"/>
        </w:rPr>
        <w:lastRenderedPageBreak/>
        <w:t xml:space="preserve">percepciones y el silencio interior para entablar una conversación con Dios. Hay diferentes enfoques de la </w:t>
      </w:r>
      <w:r w:rsidRPr="009934F0">
        <w:rPr>
          <w:rFonts w:ascii="Bookman Old Style" w:eastAsia="Times New Roman" w:hAnsi="Bookman Old Style" w:cs="Times New Roman"/>
          <w:i/>
          <w:iCs/>
          <w:color w:val="444444"/>
        </w:rPr>
        <w:t>lectio divina</w:t>
      </w:r>
      <w:r w:rsidRPr="009934F0">
        <w:rPr>
          <w:rFonts w:ascii="Bookman Old Style" w:eastAsia="Times New Roman" w:hAnsi="Bookman Old Style" w:cs="Times New Roman"/>
          <w:color w:val="444444"/>
        </w:rPr>
        <w:t xml:space="preserve">, pero en realidad, la simplicidad está en el corazón de la práctica. Después del Concilio Vaticano II y del documento </w:t>
      </w:r>
      <w:r w:rsidRPr="009934F0">
        <w:rPr>
          <w:rFonts w:ascii="Bookman Old Style" w:eastAsia="Times New Roman" w:hAnsi="Bookman Old Style" w:cs="Times New Roman"/>
          <w:i/>
          <w:iCs/>
          <w:color w:val="444444"/>
        </w:rPr>
        <w:t xml:space="preserve">Dei Verbum </w:t>
      </w:r>
      <w:r w:rsidRPr="009934F0">
        <w:rPr>
          <w:rFonts w:ascii="Bookman Old Style" w:eastAsia="Times New Roman" w:hAnsi="Bookman Old Style" w:cs="Times New Roman"/>
          <w:color w:val="444444"/>
        </w:rPr>
        <w:t xml:space="preserve">que animaba a los laicos y a los sacerdotes a utilizar </w:t>
      </w:r>
      <w:r w:rsidRPr="009934F0">
        <w:rPr>
          <w:rFonts w:ascii="Bookman Old Style" w:eastAsia="Times New Roman" w:hAnsi="Bookman Old Style" w:cs="Times New Roman"/>
          <w:i/>
          <w:iCs/>
          <w:color w:val="444444"/>
        </w:rPr>
        <w:t xml:space="preserve"> la lectio divina</w:t>
      </w:r>
      <w:r w:rsidRPr="009934F0">
        <w:rPr>
          <w:rFonts w:ascii="Bookman Old Style" w:eastAsia="Times New Roman" w:hAnsi="Bookman Old Style" w:cs="Times New Roman"/>
          <w:color w:val="444444"/>
        </w:rPr>
        <w:t>, se ha producido un resurgimiento de su ejercicio. Cuando leemos las Escrituras, debemos hacerlo no solo como una actividad intelectual, sino también como un medio para recoger su intención y significado para nuestras vidas. </w:t>
      </w:r>
      <w:r w:rsidRPr="009934F0">
        <w:rPr>
          <w:rFonts w:ascii="Bookman Old Style" w:eastAsia="Times New Roman" w:hAnsi="Bookman Old Style" w:cs="Times New Roman"/>
          <w:i/>
          <w:iCs/>
          <w:color w:val="444444"/>
        </w:rPr>
        <w:t>La lectio divina</w:t>
      </w:r>
      <w:r w:rsidRPr="009934F0">
        <w:rPr>
          <w:rFonts w:ascii="Bookman Old Style" w:eastAsia="Times New Roman" w:hAnsi="Bookman Old Style" w:cs="Times New Roman"/>
          <w:color w:val="444444"/>
        </w:rPr>
        <w:t xml:space="preserve"> te transformará, porque la transformación está en su núcleo, ya sea que te des cuenta de esa transformación conscientemente o no, y ya sea que reflejes esa transformación visiblemente o no.</w:t>
      </w:r>
      <w:r w:rsidRPr="009934F0">
        <w:rPr>
          <w:rFonts w:ascii="Bookman Old Style" w:eastAsia="Times New Roman" w:hAnsi="Bookman Old Style" w:cs="Times New Roman"/>
          <w:color w:val="444444"/>
        </w:rPr>
        <w:br/>
      </w:r>
      <w:r w:rsidRPr="009934F0">
        <w:rPr>
          <w:rFonts w:ascii="Bookman Old Style" w:eastAsia="Times New Roman" w:hAnsi="Bookman Old Style" w:cs="Times New Roman"/>
          <w:color w:val="444444"/>
        </w:rPr>
        <w:br/>
        <w:t xml:space="preserve">Para apreciar plenamente la </w:t>
      </w:r>
      <w:r w:rsidRPr="009934F0">
        <w:rPr>
          <w:rFonts w:ascii="Bookman Old Style" w:eastAsia="Times New Roman" w:hAnsi="Bookman Old Style" w:cs="Times New Roman"/>
          <w:i/>
          <w:iCs/>
          <w:color w:val="444444"/>
        </w:rPr>
        <w:t>lectio divina</w:t>
      </w:r>
      <w:r w:rsidRPr="009934F0">
        <w:rPr>
          <w:rFonts w:ascii="Bookman Old Style" w:eastAsia="Times New Roman" w:hAnsi="Bookman Old Style" w:cs="Times New Roman"/>
          <w:color w:val="444444"/>
        </w:rPr>
        <w:t>, debemos entender la oración como una relación entre Dios y nosotros mismos. A través de la oración, entramos en la relación permanente de amor incondicional de la Santísima Trinidad. Tres pilares clave de nuestra vida de oración deben ser la humildad, el corazón y la escucha. En la oración, entramos en la humildad, desinflando nuestros egos, dándonos cuenta de que no somos Dios. Nuestra humildad nos ayuda a discernir el verdadero yo del falso yo. Seguimos orando para abrir nuestros corazones a Dios, para darnos cuenta de lo que está sucediendo dentro de nosotros mismos, porque el corazón de la oración no es lo que obtenemos, sino más bien en lo que nos convertimos. Todos sabemos que debemos ser receptivos a Dios prestando atención al consejo de Elí a Samuel: "Habla, Señor, que tu siervo escucha" (1 Sam 3:1-10), pero muchos de nosotros podríamos preferir decirle a Dios en oración: "¡Escucha, Señor, tu siervo habla!" Como puede atestiguar cualquiera que haya tenido éxito con la meditación cristiana o la oración contemplativa, necesitamos hacer tiempo y espacios para el silencio para que podamos escuchar.</w:t>
      </w:r>
      <w:r w:rsidRPr="009934F0">
        <w:rPr>
          <w:rFonts w:ascii="Bookman Old Style" w:eastAsia="Times New Roman" w:hAnsi="Bookman Old Style" w:cs="Times New Roman"/>
          <w:color w:val="444444"/>
        </w:rPr>
        <w:br/>
      </w:r>
      <w:r w:rsidRPr="009934F0">
        <w:rPr>
          <w:rFonts w:ascii="Bookman Old Style" w:eastAsia="Times New Roman" w:hAnsi="Bookman Old Style" w:cs="Times New Roman"/>
          <w:color w:val="444444"/>
        </w:rPr>
        <w:br/>
        <w:t>Sin embargo, ¿qué debemos hacer si nuestras oraciones parecen no tener respuesta? El P. Chris ofrece cinco guías o razones para continuar en la oración (admite, ciertamente, que no hay solo cinco, pero considero cruciales las cinco que presentó) incluso cuando nuestra vida de oración parece estar en sequía:</w:t>
      </w:r>
      <w:r w:rsidRPr="009934F0">
        <w:rPr>
          <w:rFonts w:ascii="Bookman Old Style" w:eastAsia="Times New Roman" w:hAnsi="Bookman Old Style" w:cs="Times New Roman"/>
          <w:color w:val="444444"/>
        </w:rPr>
        <w:br/>
      </w:r>
      <w:r w:rsidRPr="009934F0">
        <w:rPr>
          <w:rFonts w:ascii="Bookman Old Style" w:eastAsia="Times New Roman" w:hAnsi="Bookman Old Style" w:cs="Times New Roman"/>
          <w:color w:val="444444"/>
        </w:rPr>
        <w:lastRenderedPageBreak/>
        <w:br/>
      </w:r>
    </w:p>
    <w:p w:rsidR="009934F0" w:rsidRPr="009934F0" w:rsidRDefault="009934F0" w:rsidP="009934F0">
      <w:pPr>
        <w:numPr>
          <w:ilvl w:val="0"/>
          <w:numId w:val="1"/>
        </w:numPr>
        <w:shd w:val="clear" w:color="auto" w:fill="FFFFFF"/>
        <w:spacing w:before="100" w:beforeAutospacing="1" w:after="100" w:afterAutospacing="1" w:line="450" w:lineRule="atLeast"/>
        <w:jc w:val="both"/>
        <w:rPr>
          <w:rFonts w:ascii="Bookman Old Style" w:eastAsia="Times New Roman" w:hAnsi="Bookman Old Style" w:cs="Times New Roman"/>
          <w:color w:val="444444"/>
        </w:rPr>
      </w:pPr>
      <w:r w:rsidRPr="009934F0">
        <w:rPr>
          <w:rFonts w:ascii="Bookman Old Style" w:eastAsia="Times New Roman" w:hAnsi="Bookman Old Style" w:cs="Times New Roman"/>
          <w:color w:val="444444"/>
        </w:rPr>
        <w:t xml:space="preserve">Cuando oramos, </w:t>
      </w:r>
      <w:r w:rsidRPr="009934F0">
        <w:rPr>
          <w:rFonts w:ascii="Bookman Old Style" w:eastAsia="Times New Roman" w:hAnsi="Bookman Old Style" w:cs="Times New Roman"/>
          <w:i/>
          <w:iCs/>
          <w:color w:val="444444"/>
        </w:rPr>
        <w:t>no le estamos</w:t>
      </w:r>
      <w:r w:rsidRPr="009934F0">
        <w:rPr>
          <w:rFonts w:ascii="Bookman Old Style" w:eastAsia="Times New Roman" w:hAnsi="Bookman Old Style" w:cs="Times New Roman"/>
          <w:color w:val="444444"/>
        </w:rPr>
        <w:t xml:space="preserve"> recordando a Dios lo que se necesita (Él ya lo sabe), sino que estamos creciendo en </w:t>
      </w:r>
      <w:r w:rsidRPr="009934F0">
        <w:rPr>
          <w:rFonts w:ascii="Bookman Old Style" w:eastAsia="Times New Roman" w:hAnsi="Bookman Old Style" w:cs="Times New Roman"/>
          <w:i/>
          <w:iCs/>
          <w:color w:val="444444"/>
        </w:rPr>
        <w:t>nuestro</w:t>
      </w:r>
      <w:r w:rsidRPr="009934F0">
        <w:rPr>
          <w:rFonts w:ascii="Bookman Old Style" w:eastAsia="Times New Roman" w:hAnsi="Bookman Old Style" w:cs="Times New Roman"/>
          <w:color w:val="444444"/>
        </w:rPr>
        <w:t xml:space="preserve"> reconocimiento de </w:t>
      </w:r>
      <w:r w:rsidRPr="009934F0">
        <w:rPr>
          <w:rFonts w:ascii="Bookman Old Style" w:eastAsia="Times New Roman" w:hAnsi="Bookman Old Style" w:cs="Times New Roman"/>
          <w:i/>
          <w:iCs/>
          <w:color w:val="444444"/>
        </w:rPr>
        <w:t>nuestra necesidad</w:t>
      </w:r>
      <w:r w:rsidRPr="009934F0">
        <w:rPr>
          <w:rFonts w:ascii="Bookman Old Style" w:eastAsia="Times New Roman" w:hAnsi="Bookman Old Style" w:cs="Times New Roman"/>
          <w:color w:val="444444"/>
        </w:rPr>
        <w:t>.</w:t>
      </w:r>
    </w:p>
    <w:p w:rsidR="009934F0" w:rsidRPr="009934F0" w:rsidRDefault="009934F0" w:rsidP="009934F0">
      <w:pPr>
        <w:numPr>
          <w:ilvl w:val="0"/>
          <w:numId w:val="1"/>
        </w:numPr>
        <w:shd w:val="clear" w:color="auto" w:fill="FFFFFF"/>
        <w:spacing w:before="100" w:beforeAutospacing="1" w:after="100" w:afterAutospacing="1" w:line="450" w:lineRule="atLeast"/>
        <w:jc w:val="both"/>
        <w:rPr>
          <w:rFonts w:ascii="Bookman Old Style" w:eastAsia="Times New Roman" w:hAnsi="Bookman Old Style" w:cs="Times New Roman"/>
          <w:color w:val="444444"/>
        </w:rPr>
      </w:pPr>
      <w:r w:rsidRPr="009934F0">
        <w:rPr>
          <w:rFonts w:ascii="Bookman Old Style" w:eastAsia="Times New Roman" w:hAnsi="Bookman Old Style" w:cs="Times New Roman"/>
          <w:color w:val="444444"/>
        </w:rPr>
        <w:t xml:space="preserve">Cuando oramos por los demás, reconocemos nuestra solidaridad con los demás. </w:t>
      </w:r>
      <w:r w:rsidRPr="009934F0">
        <w:rPr>
          <w:rFonts w:ascii="Bookman Old Style" w:eastAsia="Times New Roman" w:hAnsi="Bookman Old Style" w:cs="Times New Roman"/>
          <w:i/>
          <w:iCs/>
          <w:color w:val="444444"/>
        </w:rPr>
        <w:t>No estamos solos, todos estamos conectados.</w:t>
      </w:r>
    </w:p>
    <w:p w:rsidR="009934F0" w:rsidRPr="009934F0" w:rsidRDefault="009934F0" w:rsidP="009934F0">
      <w:pPr>
        <w:numPr>
          <w:ilvl w:val="0"/>
          <w:numId w:val="1"/>
        </w:numPr>
        <w:shd w:val="clear" w:color="auto" w:fill="FFFFFF"/>
        <w:spacing w:before="100" w:beforeAutospacing="1" w:after="100" w:afterAutospacing="1" w:line="450" w:lineRule="atLeast"/>
        <w:jc w:val="both"/>
        <w:rPr>
          <w:rFonts w:ascii="Bookman Old Style" w:eastAsia="Times New Roman" w:hAnsi="Bookman Old Style" w:cs="Times New Roman"/>
          <w:color w:val="444444"/>
        </w:rPr>
      </w:pPr>
      <w:r w:rsidRPr="009934F0">
        <w:rPr>
          <w:rFonts w:ascii="Bookman Old Style" w:eastAsia="Times New Roman" w:hAnsi="Bookman Old Style" w:cs="Times New Roman"/>
          <w:color w:val="444444"/>
        </w:rPr>
        <w:t xml:space="preserve">Cuando oramos por los demás, reconocemos que </w:t>
      </w:r>
      <w:r w:rsidRPr="009934F0">
        <w:rPr>
          <w:rFonts w:ascii="Bookman Old Style" w:eastAsia="Times New Roman" w:hAnsi="Bookman Old Style" w:cs="Times New Roman"/>
          <w:i/>
          <w:iCs/>
          <w:color w:val="444444"/>
        </w:rPr>
        <w:t>nuestra capacidad</w:t>
      </w:r>
      <w:r w:rsidRPr="009934F0">
        <w:rPr>
          <w:rFonts w:ascii="Bookman Old Style" w:eastAsia="Times New Roman" w:hAnsi="Bookman Old Style" w:cs="Times New Roman"/>
          <w:color w:val="444444"/>
        </w:rPr>
        <w:t xml:space="preserve"> de ayudar a los demás </w:t>
      </w:r>
      <w:r w:rsidRPr="009934F0">
        <w:rPr>
          <w:rFonts w:ascii="Bookman Old Style" w:eastAsia="Times New Roman" w:hAnsi="Bookman Old Style" w:cs="Times New Roman"/>
          <w:i/>
          <w:iCs/>
          <w:color w:val="444444"/>
        </w:rPr>
        <w:t>es muy limitada</w:t>
      </w:r>
      <w:r w:rsidRPr="009934F0">
        <w:rPr>
          <w:rFonts w:ascii="Bookman Old Style" w:eastAsia="Times New Roman" w:hAnsi="Bookman Old Style" w:cs="Times New Roman"/>
          <w:color w:val="444444"/>
        </w:rPr>
        <w:t>. Nuestra impotencia es nuestro reflejo de la realidad. Cuando no podemos hacerlo todo, oramos.</w:t>
      </w:r>
    </w:p>
    <w:p w:rsidR="009934F0" w:rsidRPr="009934F0" w:rsidRDefault="009934F0" w:rsidP="009934F0">
      <w:pPr>
        <w:numPr>
          <w:ilvl w:val="0"/>
          <w:numId w:val="1"/>
        </w:numPr>
        <w:shd w:val="clear" w:color="auto" w:fill="FFFFFF"/>
        <w:spacing w:before="100" w:beforeAutospacing="1" w:after="100" w:afterAutospacing="1" w:line="450" w:lineRule="atLeast"/>
        <w:jc w:val="both"/>
        <w:rPr>
          <w:rFonts w:ascii="Bookman Old Style" w:eastAsia="Times New Roman" w:hAnsi="Bookman Old Style" w:cs="Times New Roman"/>
          <w:color w:val="444444"/>
        </w:rPr>
      </w:pPr>
      <w:r w:rsidRPr="009934F0">
        <w:rPr>
          <w:rFonts w:ascii="Bookman Old Style" w:eastAsia="Times New Roman" w:hAnsi="Bookman Old Style" w:cs="Times New Roman"/>
          <w:color w:val="444444"/>
        </w:rPr>
        <w:t xml:space="preserve">Cuando oramos por los demás, nos implicamos  en su situación. Aunque nuestra capacidad es limitada, </w:t>
      </w:r>
      <w:r w:rsidRPr="009934F0">
        <w:rPr>
          <w:rFonts w:ascii="Bookman Old Style" w:eastAsia="Times New Roman" w:hAnsi="Bookman Old Style" w:cs="Times New Roman"/>
          <w:i/>
          <w:iCs/>
          <w:color w:val="444444"/>
        </w:rPr>
        <w:t>somos responsables</w:t>
      </w:r>
      <w:r w:rsidRPr="009934F0">
        <w:rPr>
          <w:rFonts w:ascii="Bookman Old Style" w:eastAsia="Times New Roman" w:hAnsi="Bookman Old Style" w:cs="Times New Roman"/>
          <w:color w:val="444444"/>
        </w:rPr>
        <w:t xml:space="preserve"> de ayudar a los demás en la medida de lo posible. La oración nos pone en el gancho para hacer algo, para tomar acción.</w:t>
      </w:r>
    </w:p>
    <w:p w:rsidR="009934F0" w:rsidRPr="009934F0" w:rsidRDefault="009934F0" w:rsidP="009934F0">
      <w:pPr>
        <w:numPr>
          <w:ilvl w:val="0"/>
          <w:numId w:val="1"/>
        </w:numPr>
        <w:shd w:val="clear" w:color="auto" w:fill="FFFFFF"/>
        <w:spacing w:before="100" w:beforeAutospacing="1" w:after="100" w:afterAutospacing="1" w:line="450" w:lineRule="atLeast"/>
        <w:jc w:val="both"/>
        <w:rPr>
          <w:rFonts w:ascii="Bookman Old Style" w:eastAsia="Times New Roman" w:hAnsi="Bookman Old Style" w:cs="Times New Roman"/>
          <w:color w:val="444444"/>
        </w:rPr>
      </w:pPr>
      <w:r w:rsidRPr="009934F0">
        <w:rPr>
          <w:rFonts w:ascii="Bookman Old Style" w:eastAsia="Times New Roman" w:hAnsi="Bookman Old Style" w:cs="Times New Roman"/>
          <w:color w:val="444444"/>
        </w:rPr>
        <w:t xml:space="preserve">Cuando oramos, </w:t>
      </w:r>
      <w:r w:rsidRPr="009934F0">
        <w:rPr>
          <w:rFonts w:ascii="Bookman Old Style" w:eastAsia="Times New Roman" w:hAnsi="Bookman Old Style" w:cs="Times New Roman"/>
          <w:i/>
          <w:iCs/>
          <w:color w:val="444444"/>
        </w:rPr>
        <w:t>compartimos</w:t>
      </w:r>
      <w:r w:rsidRPr="009934F0">
        <w:rPr>
          <w:rFonts w:ascii="Bookman Old Style" w:eastAsia="Times New Roman" w:hAnsi="Bookman Old Style" w:cs="Times New Roman"/>
          <w:color w:val="444444"/>
        </w:rPr>
        <w:t xml:space="preserve"> la oración cruciforme, una intercesión por toda la humanidad, tal como lo hizo Jesús con los brazos extendidos sobre el crucifijo.</w:t>
      </w:r>
    </w:p>
    <w:p w:rsidR="009934F0" w:rsidRPr="009934F0" w:rsidRDefault="009934F0" w:rsidP="009934F0">
      <w:pPr>
        <w:shd w:val="clear" w:color="auto" w:fill="FFFFFF"/>
        <w:spacing w:after="0" w:line="450" w:lineRule="atLeast"/>
        <w:jc w:val="both"/>
        <w:rPr>
          <w:rFonts w:ascii="Bookman Old Style" w:eastAsia="Times New Roman" w:hAnsi="Bookman Old Style" w:cs="Times New Roman"/>
          <w:color w:val="444444"/>
        </w:rPr>
      </w:pPr>
      <w:r w:rsidRPr="009934F0">
        <w:rPr>
          <w:rFonts w:ascii="Bookman Old Style" w:eastAsia="Times New Roman" w:hAnsi="Bookman Old Style" w:cs="Times New Roman"/>
          <w:color w:val="444444"/>
        </w:rPr>
        <w:t xml:space="preserve">Orar es </w:t>
      </w:r>
      <w:r w:rsidRPr="009934F0">
        <w:rPr>
          <w:rFonts w:ascii="Bookman Old Style" w:eastAsia="Times New Roman" w:hAnsi="Bookman Old Style" w:cs="Times New Roman"/>
          <w:i/>
          <w:iCs/>
          <w:color w:val="444444"/>
        </w:rPr>
        <w:t>confiar en</w:t>
      </w:r>
      <w:r w:rsidRPr="009934F0">
        <w:rPr>
          <w:rFonts w:ascii="Bookman Old Style" w:eastAsia="Times New Roman" w:hAnsi="Bookman Old Style" w:cs="Times New Roman"/>
          <w:color w:val="444444"/>
        </w:rPr>
        <w:t xml:space="preserve"> que Dios tiene un plan y abrirle a  Dios los detalles de nuestras vidas. Dado que las Escrituras son la palabra viva de Dios, es a través de las Escrituras que nos abrimos a Dios, seguimos Su voluntad y entramos en Su plan. Si no estamos orando con la Escritura, al menos estamos orando desde ella, porque la Escritura es la base de todo lo que hemos aprendido sobre la oración en nuestras vidas. A través de la lectura orante de las Escrituras, entramos en ese Gran Misterio, cuya base es una relación de confianza, una relación que nos transformará. De hecho, el mejor efecto de nuestra oración no está en obtener algo, sino más bien en </w:t>
      </w:r>
      <w:r w:rsidRPr="009934F0">
        <w:rPr>
          <w:rFonts w:ascii="Bookman Old Style" w:eastAsia="Times New Roman" w:hAnsi="Bookman Old Style" w:cs="Times New Roman"/>
          <w:i/>
          <w:iCs/>
          <w:color w:val="444444"/>
        </w:rPr>
        <w:t>llegar a ser</w:t>
      </w:r>
      <w:r w:rsidRPr="009934F0">
        <w:rPr>
          <w:rFonts w:ascii="Bookman Old Style" w:eastAsia="Times New Roman" w:hAnsi="Bookman Old Style" w:cs="Times New Roman"/>
          <w:color w:val="444444"/>
        </w:rPr>
        <w:t xml:space="preserve"> algo.</w:t>
      </w:r>
      <w:r w:rsidRPr="009934F0">
        <w:rPr>
          <w:rFonts w:ascii="Bookman Old Style" w:eastAsia="Times New Roman" w:hAnsi="Bookman Old Style" w:cs="Times New Roman"/>
          <w:color w:val="444444"/>
        </w:rPr>
        <w:br/>
      </w:r>
      <w:r w:rsidRPr="009934F0">
        <w:rPr>
          <w:rFonts w:ascii="Bookman Old Style" w:eastAsia="Times New Roman" w:hAnsi="Bookman Old Style" w:cs="Times New Roman"/>
          <w:color w:val="444444"/>
        </w:rPr>
        <w:br/>
        <w:t xml:space="preserve">Debido a que tenemos la Biblia, la Palabra viva de Dios, nuestra espiritualidad no es un conjunto de especulaciones. La Biblia es nuestra historia, nuestra </w:t>
      </w:r>
      <w:r w:rsidRPr="009934F0">
        <w:rPr>
          <w:rFonts w:ascii="Bookman Old Style" w:eastAsia="Times New Roman" w:hAnsi="Bookman Old Style" w:cs="Times New Roman"/>
          <w:i/>
          <w:iCs/>
          <w:color w:val="444444"/>
        </w:rPr>
        <w:t>metanarrativa</w:t>
      </w:r>
      <w:r w:rsidRPr="009934F0">
        <w:rPr>
          <w:rFonts w:ascii="Bookman Old Style" w:eastAsia="Times New Roman" w:hAnsi="Bookman Old Style" w:cs="Times New Roman"/>
          <w:color w:val="444444"/>
        </w:rPr>
        <w:t xml:space="preserve">. Nuestra metanarrativa une todas nuestras historias individuales en un colectivo bajo el tema general del amor eterno de Dios. Hoy nos encontramos con que las designaciones separadas de </w:t>
      </w:r>
      <w:r w:rsidRPr="009934F0">
        <w:rPr>
          <w:rFonts w:ascii="Bookman Old Style" w:eastAsia="Times New Roman" w:hAnsi="Bookman Old Style" w:cs="Times New Roman"/>
          <w:i/>
          <w:iCs/>
          <w:color w:val="444444"/>
        </w:rPr>
        <w:t xml:space="preserve">la tuya </w:t>
      </w:r>
      <w:r w:rsidRPr="009934F0">
        <w:rPr>
          <w:rFonts w:ascii="Bookman Old Style" w:eastAsia="Times New Roman" w:hAnsi="Bookman Old Style" w:cs="Times New Roman"/>
          <w:i/>
          <w:iCs/>
          <w:color w:val="444444"/>
        </w:rPr>
        <w:lastRenderedPageBreak/>
        <w:t>y la mía</w:t>
      </w:r>
      <w:r w:rsidRPr="009934F0">
        <w:rPr>
          <w:rFonts w:ascii="Bookman Old Style" w:eastAsia="Times New Roman" w:hAnsi="Bookman Old Style" w:cs="Times New Roman"/>
          <w:color w:val="444444"/>
        </w:rPr>
        <w:t xml:space="preserve"> impulsan nuestra sociedad; la sociedad de hoy ciertamente no es una metanarrativa, no es una unión de todos nosotros. Dentro de los textos bíblicos, sin embargo, encontramos nuestras historias colectivas e individuales en las que participamos junto con Cristo en el amor trinitario. Podemos dividir nuestra metanarrativa en cuatro actos: Acto I: El comienzo; Acto II: La Caída; Acto III: Redención; y Acto IV: Cumplimiento. Nuestra historia comienza con la vida (el "Árbol de la Vida" en Génesis) y termina con la vida (el "Nuevo Orden" en Apocalipsis tal como se encuentra en Cristo). Nos encontramos viviendo en el drama entre los Actos II y III, esa lucha constante de nuestras vidas que tira entre nuestra desobediencia y nuestra obediencia a medida que alcanzamos ese tiempo de satisfacción.</w:t>
      </w:r>
      <w:r w:rsidRPr="009934F0">
        <w:rPr>
          <w:rFonts w:ascii="Bookman Old Style" w:eastAsia="Times New Roman" w:hAnsi="Bookman Old Style" w:cs="Times New Roman"/>
          <w:color w:val="444444"/>
        </w:rPr>
        <w:br/>
      </w:r>
      <w:r w:rsidRPr="009934F0">
        <w:rPr>
          <w:rFonts w:ascii="Bookman Old Style" w:eastAsia="Times New Roman" w:hAnsi="Bookman Old Style" w:cs="Times New Roman"/>
          <w:color w:val="444444"/>
        </w:rPr>
        <w:br/>
        <w:t xml:space="preserve">Con esta aceptación de la Biblia como nuestra metanarrativa y nuestra comprensión de la oración, especialmente las razones para continuar en oración cuando nuestra vida de oración es seca, podemos apreciar el poder de orar las Escrituras para transformar nuestras vidas. </w:t>
      </w:r>
      <w:r w:rsidRPr="009934F0">
        <w:rPr>
          <w:rFonts w:ascii="Bookman Old Style" w:eastAsia="Times New Roman" w:hAnsi="Bookman Old Style" w:cs="Times New Roman"/>
          <w:i/>
          <w:iCs/>
          <w:color w:val="444444"/>
        </w:rPr>
        <w:t xml:space="preserve">La lectio divina </w:t>
      </w:r>
      <w:r w:rsidRPr="009934F0">
        <w:rPr>
          <w:rFonts w:ascii="Bookman Old Style" w:eastAsia="Times New Roman" w:hAnsi="Bookman Old Style" w:cs="Times New Roman"/>
          <w:color w:val="444444"/>
        </w:rPr>
        <w:t>se vuelve, en realidad, tan simple.</w:t>
      </w:r>
      <w:r w:rsidRPr="009934F0">
        <w:rPr>
          <w:rFonts w:ascii="Bookman Old Style" w:eastAsia="Times New Roman" w:hAnsi="Bookman Old Style" w:cs="Times New Roman"/>
          <w:color w:val="444444"/>
        </w:rPr>
        <w:br/>
      </w:r>
      <w:r w:rsidRPr="009934F0">
        <w:rPr>
          <w:rFonts w:ascii="Bookman Old Style" w:eastAsia="Times New Roman" w:hAnsi="Bookman Old Style" w:cs="Times New Roman"/>
          <w:color w:val="444444"/>
        </w:rPr>
        <w:br/>
      </w:r>
    </w:p>
    <w:p w:rsidR="009934F0" w:rsidRPr="009934F0" w:rsidRDefault="009934F0" w:rsidP="009934F0">
      <w:pPr>
        <w:numPr>
          <w:ilvl w:val="0"/>
          <w:numId w:val="2"/>
        </w:numPr>
        <w:shd w:val="clear" w:color="auto" w:fill="FFFFFF"/>
        <w:spacing w:before="100" w:beforeAutospacing="1" w:after="100" w:afterAutospacing="1" w:line="450" w:lineRule="atLeast"/>
        <w:jc w:val="both"/>
        <w:rPr>
          <w:rFonts w:ascii="Bookman Old Style" w:eastAsia="Times New Roman" w:hAnsi="Bookman Old Style" w:cs="Times New Roman"/>
          <w:color w:val="444444"/>
        </w:rPr>
      </w:pPr>
      <w:r w:rsidRPr="009934F0">
        <w:rPr>
          <w:rFonts w:ascii="Bookman Old Style" w:eastAsia="Times New Roman" w:hAnsi="Bookman Old Style" w:cs="Times New Roman"/>
          <w:i/>
          <w:iCs/>
          <w:color w:val="444444"/>
        </w:rPr>
        <w:t xml:space="preserve">Leer </w:t>
      </w:r>
      <w:r w:rsidRPr="009934F0">
        <w:rPr>
          <w:rFonts w:ascii="Bookman Old Style" w:eastAsia="Times New Roman" w:hAnsi="Bookman Old Style" w:cs="Times New Roman"/>
          <w:color w:val="444444"/>
        </w:rPr>
        <w:t>(</w:t>
      </w:r>
      <w:r w:rsidRPr="009934F0">
        <w:rPr>
          <w:rFonts w:ascii="Bookman Old Style" w:eastAsia="Times New Roman" w:hAnsi="Bookman Old Style" w:cs="Times New Roman"/>
          <w:i/>
          <w:iCs/>
          <w:color w:val="444444"/>
        </w:rPr>
        <w:t>lectio</w:t>
      </w:r>
      <w:r w:rsidRPr="009934F0">
        <w:rPr>
          <w:rFonts w:ascii="Bookman Old Style" w:eastAsia="Times New Roman" w:hAnsi="Bookman Old Style" w:cs="Times New Roman"/>
          <w:color w:val="444444"/>
        </w:rPr>
        <w:t xml:space="preserve">): ¿qué </w:t>
      </w:r>
      <w:r w:rsidRPr="009934F0">
        <w:rPr>
          <w:rFonts w:ascii="Bookman Old Style" w:eastAsia="Times New Roman" w:hAnsi="Bookman Old Style" w:cs="Times New Roman"/>
          <w:i/>
          <w:iCs/>
          <w:color w:val="444444"/>
        </w:rPr>
        <w:t>dice el texto en sí mismo</w:t>
      </w:r>
      <w:r w:rsidRPr="009934F0">
        <w:rPr>
          <w:rFonts w:ascii="Bookman Old Style" w:eastAsia="Times New Roman" w:hAnsi="Bookman Old Style" w:cs="Times New Roman"/>
          <w:color w:val="444444"/>
        </w:rPr>
        <w:t>? ¿Qué sé del contexto histórico que ayuda a proporcionar los antecedentes? Sin embargo, no es necesario ser un erudito bíblico para responder a la pregunta "¿Qué dice el texto?"</w:t>
      </w:r>
    </w:p>
    <w:p w:rsidR="009934F0" w:rsidRPr="009934F0" w:rsidRDefault="009934F0" w:rsidP="009934F0">
      <w:pPr>
        <w:numPr>
          <w:ilvl w:val="0"/>
          <w:numId w:val="2"/>
        </w:numPr>
        <w:shd w:val="clear" w:color="auto" w:fill="FFFFFF"/>
        <w:spacing w:before="100" w:beforeAutospacing="1" w:after="100" w:afterAutospacing="1" w:line="450" w:lineRule="atLeast"/>
        <w:jc w:val="both"/>
        <w:rPr>
          <w:rFonts w:ascii="Bookman Old Style" w:eastAsia="Times New Roman" w:hAnsi="Bookman Old Style" w:cs="Times New Roman"/>
          <w:color w:val="444444"/>
        </w:rPr>
      </w:pPr>
      <w:proofErr w:type="spellStart"/>
      <w:r w:rsidRPr="009934F0">
        <w:rPr>
          <w:rFonts w:ascii="Bookman Old Style" w:eastAsia="Times New Roman" w:hAnsi="Bookman Old Style" w:cs="Times New Roman"/>
          <w:i/>
          <w:iCs/>
          <w:color w:val="444444"/>
        </w:rPr>
        <w:t>Medita</w:t>
      </w:r>
      <w:proofErr w:type="spellEnd"/>
      <w:r w:rsidRPr="009934F0">
        <w:rPr>
          <w:rFonts w:ascii="Bookman Old Style" w:eastAsia="Times New Roman" w:hAnsi="Bookman Old Style" w:cs="Times New Roman"/>
          <w:color w:val="444444"/>
        </w:rPr>
        <w:t xml:space="preserve"> (</w:t>
      </w:r>
      <w:proofErr w:type="spellStart"/>
      <w:r w:rsidRPr="009934F0">
        <w:rPr>
          <w:rFonts w:ascii="Bookman Old Style" w:eastAsia="Times New Roman" w:hAnsi="Bookman Old Style" w:cs="Times New Roman"/>
          <w:i/>
          <w:iCs/>
          <w:color w:val="444444"/>
        </w:rPr>
        <w:t>meditatio</w:t>
      </w:r>
      <w:proofErr w:type="spellEnd"/>
      <w:r w:rsidRPr="009934F0">
        <w:rPr>
          <w:rFonts w:ascii="Bookman Old Style" w:eastAsia="Times New Roman" w:hAnsi="Bookman Old Style" w:cs="Times New Roman"/>
          <w:color w:val="444444"/>
        </w:rPr>
        <w:t xml:space="preserve">) o </w:t>
      </w:r>
      <w:proofErr w:type="spellStart"/>
      <w:r w:rsidRPr="009934F0">
        <w:rPr>
          <w:rFonts w:ascii="Bookman Old Style" w:eastAsia="Times New Roman" w:hAnsi="Bookman Old Style" w:cs="Times New Roman"/>
          <w:color w:val="444444"/>
        </w:rPr>
        <w:t>reflexiona</w:t>
      </w:r>
      <w:proofErr w:type="spellEnd"/>
      <w:r w:rsidRPr="009934F0">
        <w:rPr>
          <w:rFonts w:ascii="Bookman Old Style" w:eastAsia="Times New Roman" w:hAnsi="Bookman Old Style" w:cs="Times New Roman"/>
          <w:color w:val="444444"/>
        </w:rPr>
        <w:t>: ¿</w:t>
      </w:r>
      <w:proofErr w:type="spellStart"/>
      <w:r w:rsidRPr="009934F0">
        <w:rPr>
          <w:rFonts w:ascii="Bookman Old Style" w:eastAsia="Times New Roman" w:hAnsi="Bookman Old Style" w:cs="Times New Roman"/>
          <w:color w:val="444444"/>
        </w:rPr>
        <w:t>qué</w:t>
      </w:r>
      <w:proofErr w:type="spellEnd"/>
      <w:r w:rsidRPr="009934F0">
        <w:rPr>
          <w:rFonts w:ascii="Bookman Old Style" w:eastAsia="Times New Roman" w:hAnsi="Bookman Old Style" w:cs="Times New Roman"/>
          <w:color w:val="444444"/>
        </w:rPr>
        <w:t xml:space="preserve"> me dice el texto? ¿Cómo me encuentro reflejado en el pasaje? Mi lectura no es solo para entender, sino más bien encontrarme allí en el pasaje</w:t>
      </w:r>
      <w:r w:rsidRPr="009934F0">
        <w:rPr>
          <w:rFonts w:ascii="Bookman Old Style" w:eastAsia="Times New Roman" w:hAnsi="Bookman Old Style" w:cs="Times New Roman"/>
          <w:i/>
          <w:iCs/>
          <w:color w:val="444444"/>
        </w:rPr>
        <w:t xml:space="preserve">, </w:t>
      </w:r>
      <w:r w:rsidRPr="009934F0">
        <w:rPr>
          <w:rFonts w:ascii="Bookman Old Style" w:eastAsia="Times New Roman" w:hAnsi="Bookman Old Style" w:cs="Times New Roman"/>
          <w:color w:val="444444"/>
        </w:rPr>
        <w:t>o como dice el P. Chris, "estar debajo de él". Se supone que San Agustín solía detenerse en medio de su anuncio del Evangelio para decir: "¡Escucha ahora, esto se aplica a ti!"</w:t>
      </w:r>
    </w:p>
    <w:p w:rsidR="009934F0" w:rsidRPr="009934F0" w:rsidRDefault="009934F0" w:rsidP="009934F0">
      <w:pPr>
        <w:numPr>
          <w:ilvl w:val="0"/>
          <w:numId w:val="2"/>
        </w:numPr>
        <w:shd w:val="clear" w:color="auto" w:fill="FFFFFF"/>
        <w:spacing w:before="100" w:beforeAutospacing="1" w:after="100" w:afterAutospacing="1" w:line="450" w:lineRule="atLeast"/>
        <w:jc w:val="both"/>
        <w:rPr>
          <w:rFonts w:ascii="Bookman Old Style" w:eastAsia="Times New Roman" w:hAnsi="Bookman Old Style" w:cs="Times New Roman"/>
          <w:color w:val="444444"/>
        </w:rPr>
      </w:pPr>
      <w:proofErr w:type="spellStart"/>
      <w:r w:rsidRPr="009934F0">
        <w:rPr>
          <w:rFonts w:ascii="Bookman Old Style" w:eastAsia="Times New Roman" w:hAnsi="Bookman Old Style" w:cs="Times New Roman"/>
          <w:i/>
          <w:iCs/>
          <w:color w:val="444444"/>
        </w:rPr>
        <w:t>Orar</w:t>
      </w:r>
      <w:proofErr w:type="spellEnd"/>
      <w:r w:rsidRPr="009934F0">
        <w:rPr>
          <w:rFonts w:ascii="Bookman Old Style" w:eastAsia="Times New Roman" w:hAnsi="Bookman Old Style" w:cs="Times New Roman"/>
          <w:color w:val="444444"/>
        </w:rPr>
        <w:t xml:space="preserve"> (</w:t>
      </w:r>
      <w:proofErr w:type="spellStart"/>
      <w:r w:rsidRPr="009934F0">
        <w:rPr>
          <w:rFonts w:ascii="Bookman Old Style" w:eastAsia="Times New Roman" w:hAnsi="Bookman Old Style" w:cs="Times New Roman"/>
          <w:i/>
          <w:iCs/>
          <w:color w:val="444444"/>
        </w:rPr>
        <w:t>oratio</w:t>
      </w:r>
      <w:proofErr w:type="spellEnd"/>
      <w:r w:rsidRPr="009934F0">
        <w:rPr>
          <w:rFonts w:ascii="Bookman Old Style" w:eastAsia="Times New Roman" w:hAnsi="Bookman Old Style" w:cs="Times New Roman"/>
          <w:color w:val="444444"/>
        </w:rPr>
        <w:t>) o responder: ¿</w:t>
      </w:r>
      <w:proofErr w:type="spellStart"/>
      <w:r w:rsidRPr="009934F0">
        <w:rPr>
          <w:rFonts w:ascii="Bookman Old Style" w:eastAsia="Times New Roman" w:hAnsi="Bookman Old Style" w:cs="Times New Roman"/>
          <w:color w:val="444444"/>
        </w:rPr>
        <w:t>qué</w:t>
      </w:r>
      <w:proofErr w:type="spellEnd"/>
      <w:r w:rsidRPr="009934F0">
        <w:rPr>
          <w:rFonts w:ascii="Bookman Old Style" w:eastAsia="Times New Roman" w:hAnsi="Bookman Old Style" w:cs="Times New Roman"/>
          <w:color w:val="444444"/>
        </w:rPr>
        <w:t xml:space="preserve"> </w:t>
      </w:r>
      <w:r w:rsidRPr="009934F0">
        <w:rPr>
          <w:rFonts w:ascii="Bookman Old Style" w:eastAsia="Times New Roman" w:hAnsi="Bookman Old Style" w:cs="Times New Roman"/>
          <w:i/>
          <w:iCs/>
          <w:color w:val="444444"/>
        </w:rPr>
        <w:t>me lleva el texto a decir o hacer</w:t>
      </w:r>
      <w:r w:rsidRPr="009934F0">
        <w:rPr>
          <w:rFonts w:ascii="Bookman Old Style" w:eastAsia="Times New Roman" w:hAnsi="Bookman Old Style" w:cs="Times New Roman"/>
          <w:color w:val="444444"/>
        </w:rPr>
        <w:t xml:space="preserve">? ¿Cuál es </w:t>
      </w:r>
      <w:r w:rsidRPr="009934F0">
        <w:rPr>
          <w:rFonts w:ascii="Bookman Old Style" w:eastAsia="Times New Roman" w:hAnsi="Bookman Old Style" w:cs="Times New Roman"/>
          <w:i/>
          <w:iCs/>
          <w:color w:val="444444"/>
        </w:rPr>
        <w:t>mi respuesta</w:t>
      </w:r>
      <w:r w:rsidRPr="009934F0">
        <w:rPr>
          <w:rFonts w:ascii="Bookman Old Style" w:eastAsia="Times New Roman" w:hAnsi="Bookman Old Style" w:cs="Times New Roman"/>
          <w:color w:val="444444"/>
        </w:rPr>
        <w:t xml:space="preserve"> basada en mi lectura y meditación? Necesito regocijarme (estar agradecido), arrepentirme (lamentarme; expiar) y/o resolver (actuar; servir)</w:t>
      </w:r>
    </w:p>
    <w:p w:rsidR="009934F0" w:rsidRPr="009934F0" w:rsidRDefault="009934F0" w:rsidP="009934F0">
      <w:pPr>
        <w:numPr>
          <w:ilvl w:val="0"/>
          <w:numId w:val="2"/>
        </w:numPr>
        <w:shd w:val="clear" w:color="auto" w:fill="FFFFFF"/>
        <w:spacing w:before="100" w:beforeAutospacing="1" w:after="100" w:afterAutospacing="1" w:line="450" w:lineRule="atLeast"/>
        <w:jc w:val="both"/>
        <w:rPr>
          <w:rFonts w:ascii="Bookman Old Style" w:eastAsia="Times New Roman" w:hAnsi="Bookman Old Style" w:cs="Times New Roman"/>
          <w:color w:val="444444"/>
        </w:rPr>
      </w:pPr>
      <w:proofErr w:type="spellStart"/>
      <w:r w:rsidRPr="009934F0">
        <w:rPr>
          <w:rFonts w:ascii="Bookman Old Style" w:eastAsia="Times New Roman" w:hAnsi="Bookman Old Style" w:cs="Times New Roman"/>
          <w:color w:val="444444"/>
        </w:rPr>
        <w:lastRenderedPageBreak/>
        <w:t>Contemplar</w:t>
      </w:r>
      <w:proofErr w:type="spellEnd"/>
      <w:r w:rsidRPr="009934F0">
        <w:rPr>
          <w:rFonts w:ascii="Bookman Old Style" w:eastAsia="Times New Roman" w:hAnsi="Bookman Old Style" w:cs="Times New Roman"/>
          <w:color w:val="444444"/>
        </w:rPr>
        <w:t xml:space="preserve"> (</w:t>
      </w:r>
      <w:proofErr w:type="spellStart"/>
      <w:r w:rsidRPr="009934F0">
        <w:rPr>
          <w:rFonts w:ascii="Bookman Old Style" w:eastAsia="Times New Roman" w:hAnsi="Bookman Old Style" w:cs="Times New Roman"/>
          <w:i/>
          <w:iCs/>
          <w:color w:val="444444"/>
        </w:rPr>
        <w:t>contemplatio</w:t>
      </w:r>
      <w:proofErr w:type="spellEnd"/>
      <w:r w:rsidRPr="009934F0">
        <w:rPr>
          <w:rFonts w:ascii="Bookman Old Style" w:eastAsia="Times New Roman" w:hAnsi="Bookman Old Style" w:cs="Times New Roman"/>
          <w:color w:val="444444"/>
        </w:rPr>
        <w:t xml:space="preserve">) o </w:t>
      </w:r>
      <w:proofErr w:type="spellStart"/>
      <w:r w:rsidRPr="009934F0">
        <w:rPr>
          <w:rFonts w:ascii="Bookman Old Style" w:eastAsia="Times New Roman" w:hAnsi="Bookman Old Style" w:cs="Times New Roman"/>
          <w:color w:val="444444"/>
        </w:rPr>
        <w:t>descansar</w:t>
      </w:r>
      <w:proofErr w:type="spellEnd"/>
      <w:r w:rsidRPr="009934F0">
        <w:rPr>
          <w:rFonts w:ascii="Bookman Old Style" w:eastAsia="Times New Roman" w:hAnsi="Bookman Old Style" w:cs="Times New Roman"/>
          <w:color w:val="444444"/>
        </w:rPr>
        <w:t xml:space="preserve"> – silencio; estar en la presencia del Señor. «Estad quietos y sabed que yo soy» (Sal 46,10). Puede que no obtenga una respuesta, pero </w:t>
      </w:r>
      <w:r w:rsidRPr="009934F0">
        <w:rPr>
          <w:rFonts w:ascii="Bookman Old Style" w:eastAsia="Times New Roman" w:hAnsi="Bookman Old Style" w:cs="Times New Roman"/>
          <w:i/>
          <w:iCs/>
          <w:color w:val="444444"/>
        </w:rPr>
        <w:t>ganaré perspectiva</w:t>
      </w:r>
      <w:r w:rsidRPr="009934F0">
        <w:rPr>
          <w:rFonts w:ascii="Bookman Old Style" w:eastAsia="Times New Roman" w:hAnsi="Bookman Old Style" w:cs="Times New Roman"/>
          <w:color w:val="444444"/>
        </w:rPr>
        <w:t>.</w:t>
      </w:r>
    </w:p>
    <w:p w:rsidR="009934F0" w:rsidRPr="009934F0" w:rsidRDefault="009934F0" w:rsidP="009934F0">
      <w:pPr>
        <w:shd w:val="clear" w:color="auto" w:fill="FFFFFF"/>
        <w:spacing w:after="0" w:line="450" w:lineRule="atLeast"/>
        <w:jc w:val="both"/>
        <w:rPr>
          <w:rFonts w:ascii="Bookman Old Style" w:eastAsia="Times New Roman" w:hAnsi="Bookman Old Style" w:cs="Times New Roman"/>
          <w:color w:val="444444"/>
        </w:rPr>
      </w:pPr>
      <w:r w:rsidRPr="009934F0">
        <w:rPr>
          <w:rFonts w:ascii="Bookman Old Style" w:eastAsia="Times New Roman" w:hAnsi="Bookman Old Style" w:cs="Times New Roman"/>
          <w:color w:val="444444"/>
        </w:rPr>
        <w:t>Es importante tener en cuenta que los pasos en sí mismos no son necesariamente secuenciales, por ejemplo, generalmente terminamos meditando mientras leemos y oramos. La secuencia no es lo importante; La acción de "orar las Escrituras" es lo que es crítico. ¡Elige un pasaje y oradlo, entra en esa conversación con Dios!</w:t>
      </w:r>
    </w:p>
    <w:p w:rsidR="009934F0" w:rsidRPr="00820E37" w:rsidRDefault="009934F0" w:rsidP="009934F0">
      <w:pPr>
        <w:rPr>
          <w:rFonts w:ascii="Bookman Old Style" w:hAnsi="Bookman Old Style"/>
        </w:rPr>
      </w:pPr>
      <w:r w:rsidRPr="00820E37">
        <w:rPr>
          <w:rFonts w:ascii="Bookman Old Style" w:hAnsi="Bookman Old Style"/>
        </w:rPr>
        <w:t xml:space="preserve">Crédito:( </w:t>
      </w:r>
      <w:hyperlink r:id="rId9" w:history="1">
        <w:r w:rsidRPr="00820E37">
          <w:rPr>
            <w:rStyle w:val="Hyperlink"/>
            <w:rFonts w:ascii="Bookman Old Style" w:hAnsi="Bookman Old Style"/>
          </w:rPr>
          <w:t>https://www.catholicapostolatecenter.org/blog/lectio-divine-a-renewed-commitment</w:t>
        </w:r>
      </w:hyperlink>
      <w:r w:rsidRPr="00820E37">
        <w:rPr>
          <w:rFonts w:ascii="Bookman Old Style" w:hAnsi="Bookman Old Style"/>
        </w:rPr>
        <w:t>; Fawn Waranauskus, autor)</w:t>
      </w:r>
    </w:p>
    <w:sectPr w:rsidR="009934F0" w:rsidRPr="00820E37" w:rsidSect="00820E37">
      <w:head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60E" w:rsidRDefault="00B5560E" w:rsidP="00800C13">
      <w:pPr>
        <w:spacing w:after="0" w:line="240" w:lineRule="auto"/>
      </w:pPr>
      <w:r>
        <w:separator/>
      </w:r>
    </w:p>
  </w:endnote>
  <w:endnote w:type="continuationSeparator" w:id="0">
    <w:p w:rsidR="00B5560E" w:rsidRDefault="00B5560E" w:rsidP="00800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60E" w:rsidRDefault="00B5560E" w:rsidP="00800C13">
      <w:pPr>
        <w:spacing w:after="0" w:line="240" w:lineRule="auto"/>
      </w:pPr>
      <w:r>
        <w:separator/>
      </w:r>
    </w:p>
  </w:footnote>
  <w:footnote w:type="continuationSeparator" w:id="0">
    <w:p w:rsidR="00B5560E" w:rsidRDefault="00B5560E" w:rsidP="00800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C13" w:rsidRDefault="00800C13" w:rsidP="00800C13">
    <w:pPr>
      <w:pStyle w:val="Header"/>
      <w:jc w:val="center"/>
    </w:pPr>
    <w:r>
      <w:t>Cartilla de Oración – Lectio Divina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3724A6"/>
    <w:multiLevelType w:val="multilevel"/>
    <w:tmpl w:val="5EF8D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1C1CA5"/>
    <w:multiLevelType w:val="multilevel"/>
    <w:tmpl w:val="1C229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13"/>
    <w:rsid w:val="000D24FD"/>
    <w:rsid w:val="00136CAD"/>
    <w:rsid w:val="00800C13"/>
    <w:rsid w:val="00820E37"/>
    <w:rsid w:val="008A2DAA"/>
    <w:rsid w:val="009934F0"/>
    <w:rsid w:val="009E264B"/>
    <w:rsid w:val="00B5560E"/>
    <w:rsid w:val="00E80C15"/>
    <w:rsid w:val="00EA6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E5EDAB-D474-4392-B734-65597C3E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C13"/>
  </w:style>
  <w:style w:type="paragraph" w:styleId="Footer">
    <w:name w:val="footer"/>
    <w:basedOn w:val="Normal"/>
    <w:link w:val="FooterChar"/>
    <w:uiPriority w:val="99"/>
    <w:unhideWhenUsed/>
    <w:rsid w:val="00800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C13"/>
  </w:style>
  <w:style w:type="character" w:styleId="Hyperlink">
    <w:name w:val="Hyperlink"/>
    <w:basedOn w:val="DefaultParagraphFont"/>
    <w:uiPriority w:val="99"/>
    <w:unhideWhenUsed/>
    <w:rsid w:val="00800C13"/>
    <w:rPr>
      <w:color w:val="0000FF"/>
      <w:u w:val="single"/>
    </w:rPr>
  </w:style>
  <w:style w:type="character" w:styleId="Emphasis">
    <w:name w:val="Emphasis"/>
    <w:basedOn w:val="DefaultParagraphFont"/>
    <w:uiPriority w:val="20"/>
    <w:qFormat/>
    <w:rsid w:val="009934F0"/>
    <w:rPr>
      <w:i/>
      <w:iCs/>
    </w:rPr>
  </w:style>
  <w:style w:type="character" w:styleId="UnresolvedMention">
    <w:name w:val="Unresolved Mention"/>
    <w:basedOn w:val="DefaultParagraphFont"/>
    <w:uiPriority w:val="99"/>
    <w:semiHidden/>
    <w:unhideWhenUsed/>
    <w:rsid w:val="009934F0"/>
    <w:rPr>
      <w:color w:val="605E5C"/>
      <w:shd w:val="clear" w:color="auto" w:fill="E1DFDD"/>
    </w:rPr>
  </w:style>
  <w:style w:type="character" w:styleId="PlaceholderText">
    <w:name w:val="Placeholder Text"/>
    <w:basedOn w:val="DefaultParagraphFont"/>
    <w:uiPriority w:val="99"/>
    <w:semiHidden/>
    <w:rsid w:val="00136C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3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tholicapostolatecenter.org/blog/lectio-divine-a-renewed-commi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E72C7-C45C-4469-A724-9982D4669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Lumley</dc:creator>
  <cp:keywords/>
  <dc:description/>
  <cp:lastModifiedBy>Kristy Lumley</cp:lastModifiedBy>
  <cp:revision>1</cp:revision>
  <dcterms:created xsi:type="dcterms:W3CDTF">2025-06-30T13:01:00Z</dcterms:created>
  <dcterms:modified xsi:type="dcterms:W3CDTF">2025-06-30T13:31:00Z</dcterms:modified>
</cp:coreProperties>
</file>